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2022年重庆市中小学生乒乓球比赛</w:t>
      </w:r>
    </w:p>
    <w:p>
      <w:pPr>
        <w:keepNext w:val="0"/>
        <w:keepLines w:val="0"/>
        <w:pageBreakBefore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竞赛规程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一、主办单位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重庆市教育委员会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二、承办单位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重庆市九龙坡区教育委员会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三、比赛时间及地点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时间：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2年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月21日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重庆市育才中学体育馆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四、参加单位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全市各中小学（含中等职业学校、中等师范学校，下同）以校为单位组队参赛，不接受个人名义报名。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五、竞赛分组及比赛项目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（一）竞赛分组：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按照辖区分为主城区组（包括渝中区、江北区、南岸区、巴南区、大渡口区、沙坪坝区、北碚区、两江新区、渝北区、九龙坡区、高新区）和其他区县组（指除上述主城区外的区县）。具体分组为：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小学主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城区甲组、小学主城区乙组、初中主城区组、高中主城区组。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小学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其他区县甲组、小学其他区县乙组、初中其他区县组、高中其他区县组。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（二）竞赛项目：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小学组设男、女单打，初中和高中分别设男、女单打和男、女双打。双打不允许跨校、跨区县配对比赛。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六、参赛资格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每名学生只能参加一个组别的比赛，不允许不同学段学生跨组别参加比赛。双打不允许跨校、跨区县配对比赛。初高中组单、双打不允许兼报（即每名运动员只能参加其中1项比赛）。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小学甲组参赛运动员必须是2009年9月1日—2012年8月31日期间出生（均含当日，下同）的在校在籍小学生，小学乙组参赛运动员必须是2012年9月1日以后出生的在校在籍在读小学生。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初中组参赛运动员必须是2006年9月1日以后出生的在校在籍在读初中生。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高中组参赛运动员必须是2003年9月1日以后出生的在校在籍在读高中生。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已调入体工队、职业俱乐部队的运动员不得参加比赛。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参赛运动员必须思想政治进步，遵守运动员守则，文化课考试合格。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参赛运动员须经当地医院体检，证明其身体健康，适宜参加该项目比赛，并在报名表上加盖医院公章。未经体检，不予参赛。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参赛队员必须办理比赛期间及往返参赛途中的“人身意外伤害保险”。未办理者，不予参赛。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七、参加办法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各参赛单位可报领队1人，教练1-2人，队医1人。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小学甲组和乙组可各报男、女单打运动员2人。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初中组和高中组可各报男、女单打运动员2人，男、女双打运动员2对，但单、双打不允许兼报（即每名运动员只能参加其中1项比赛）。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参赛运动员凭重庆市第二代身份证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或带鲜章的户口证明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参赛。无法提供者，不予参赛。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参赛运动员服装主体颜色不得为白色，双打原则上要求服装主体颜色一致。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</w:rPr>
        <w:t>（六）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各参赛队于6月14日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  <w:t>上午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12:00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前将报名表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Word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  <w:t>电子件＋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PDF盖章件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传至指定邮箱，特别提醒报名表和邮件主题按“区县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名称+学校名称+2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02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2年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重庆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中小学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乒乓球比赛报名表”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命名，并打电话确认是否收到报名表。报名表一经上报不得更改，逾期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不再接收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bCs/>
          <w:color w:val="auto"/>
          <w:sz w:val="32"/>
          <w:szCs w:val="32"/>
        </w:rPr>
        <w:t>八、竞赛办法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比赛执行中国乒乓球协会最新审定的《乒乓球竞赛规则》（2016）。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  <w:t>第一阶段采用分组循环赛，三局二胜制，每局11分，决出前两名参加第二阶段比赛。第二阶段采用淘汰赛加附加赛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  <w:t>，五局三胜制，每局11分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比赛用球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为红双喜赛顶40+白色乒乓球。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九、资格审查及比赛纪律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为端正赛风，资格审查委员会将在比赛前、比赛中和比赛后对运动员资格进行审查。如报名后发现有弄虚作假、违反规定的，取消其比赛资格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和成绩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，且不得补报或更换其他运动员；如比赛中或比赛后发现的，取消其比赛资格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和成绩，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并通报全市，情节严重者将追究直接责任人和区县（自治县）教委（教育局）、学校领导的责任。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凡对参赛运动员资格有异议的，需向“资格审查委员会”提交经领队签字认可的申诉报告及举报内容有关的证明材料，并缴纳500元申诉费后方可受理。申诉经审查属实，申诉费如数退还；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经查申诉不符，申诉费不予退还。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严格执行《重庆市学生体育竞赛纪律管理及处罚规定（试行）》，对违反规定的运动员、运动队，将依据《规定》的有关条款给予处罚。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加强比赛管理，确保比赛顺利进行，各参赛队需交纳“保证金”500元，用于对各参赛队及所属人员在比赛期间违反赛会纪律、社会治安管理条例及运动员参赛资格等问题的经济赔偿和处罚。比赛结束时，未发生违纪行为的运动队，“保证金”如数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十、录取名次与奖励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（一）团体总分奖：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各单项比赛前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分别按9、7、6、5、4、3、2、1计分，分别录取主城区组、其他区县组的小学组、初中组、高中组男女合计总分参赛单位前八名，颁发奖牌。录取团体总分奖名次时，如遇两队以上得分相等，以获得第一名多者名次列前，若仍相等，则以获得第二名多者名次列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前，以此类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（二）单项奖：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各比赛单项分主城区组、其他区县组分别录取前八名，颁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发证书。运动员不足8人（对）时，递减1名录取相应名次。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</w:rPr>
        <w:t>（三）体育道德风尚奖：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小学、初中、高中组（不分区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县）各评选代表队3队，颁发奖牌；个人每队评选1-2人，颁发奖证。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（四）优秀裁判员：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按裁判员总人数5:1比例评选优秀裁判员，颁发证书。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（五）优秀教练员：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团体男女合计总分前4名代表队教练，颁发优秀教练员证书。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十一、疫情防控要求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代表队一定要严格按照市疫情防控要求参加比赛。要坚持将广大师生生命安全和身体健康放在首位，严格落实疫情防控工作各项要求。把疫情防控、健康教育、安全教育和体育教育结合起来，做好各代表队的组织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承办单位要制定应急预案，加强应急演练，审慎稳妥组织赛事活动。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所有参赛人员必须满足赛前14天之内未离开重庆市，且14天之内未接触重点疫情的人员。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报到时严格查验参加比赛的各类人员体温、渝康码、行程码、48 小时内核酸检测阴性证明等情况，红码、黄码、弹窗人员以及核酸结果异常人员不得参加比赛。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比赛期间各参赛队应按相关要求和规定做好个人防护，严格做到住宿和比赛场地“两点一线”，不扎堆，不聚集，不乱跑，并切实做好健康监测，除比赛外时刻佩戴好口罩。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</w:pPr>
      <w:r>
        <w:rPr>
          <w:rFonts w:hint="eastAsia"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十二、其他事宜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各参赛队交通、食宿自理，费用回原单位报销。领队、教练员、队医按国家规定的差旅报销标准报销。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参赛运动员上场比赛必须佩带承办单位统一制作的运动员号码布，否则不予参赛。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本《规程》的解释、修改权属主办单位。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未尽事宜，另行通知。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1918" w:leftChars="304" w:hanging="1280" w:hangingChars="400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2022年重庆市中小学生乒乓球比赛参赛免责声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2.报名及报到程序</w:t>
      </w:r>
    </w:p>
    <w:p>
      <w:pPr>
        <w:keepNext w:val="0"/>
        <w:keepLines w:val="0"/>
        <w:pageBreakBefore w:val="0"/>
        <w:widowControl/>
        <w:tabs>
          <w:tab w:val="left" w:pos="508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2022年重庆市中小学生乒乓球比赛报名表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4.领队、教练员、队医和参赛人员健康筛查统计表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4800" w:firstLineChars="1500"/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2年6月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391"/>
        <w:jc w:val="center"/>
        <w:textAlignment w:val="auto"/>
        <w:rPr>
          <w:rFonts w:ascii="方正小标宋_GBK" w:eastAsia="方正小标宋_GBK"/>
          <w:iCs/>
          <w:color w:val="000000"/>
          <w:sz w:val="44"/>
          <w:szCs w:val="44"/>
        </w:rPr>
      </w:pPr>
      <w:r>
        <w:rPr>
          <w:rFonts w:hint="eastAsia" w:ascii="方正小标宋_GBK" w:eastAsia="方正小标宋_GBK"/>
          <w:iCs/>
          <w:color w:val="000000"/>
          <w:sz w:val="44"/>
          <w:szCs w:val="44"/>
        </w:rPr>
        <w:t>2022年重庆市中小学生乒乓球比赛参赛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391"/>
        <w:jc w:val="center"/>
        <w:textAlignment w:val="auto"/>
        <w:rPr>
          <w:rFonts w:ascii="方正小标宋_GBK" w:eastAsia="方正小标宋_GBK"/>
          <w:iCs/>
          <w:color w:val="000000"/>
          <w:sz w:val="44"/>
          <w:szCs w:val="44"/>
        </w:rPr>
      </w:pPr>
      <w:r>
        <w:rPr>
          <w:rFonts w:hint="eastAsia" w:ascii="方正小标宋_GBK" w:eastAsia="方正小标宋_GBK"/>
          <w:iCs/>
          <w:color w:val="000000"/>
          <w:sz w:val="44"/>
          <w:szCs w:val="44"/>
        </w:rPr>
        <w:t>免责声明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65"/>
        </w:tabs>
        <w:kinsoku/>
        <w:wordWrap/>
        <w:overflowPunct/>
        <w:topLinePunct w:val="0"/>
        <w:autoSpaceDE/>
        <w:autoSpaceDN/>
        <w:bidi w:val="0"/>
        <w:adjustRightInd/>
        <w:spacing w:before="15" w:line="600" w:lineRule="exact"/>
        <w:ind w:left="0"/>
        <w:textAlignment w:val="auto"/>
        <w:rPr>
          <w:rFonts w:ascii="方正仿宋_GBK" w:eastAsia="方正仿宋_GBK"/>
          <w:iCs/>
          <w:color w:val="000000"/>
          <w:w w:val="99"/>
          <w:sz w:val="28"/>
          <w:szCs w:val="28"/>
          <w:u w:val="thick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565"/>
        </w:tabs>
        <w:kinsoku/>
        <w:wordWrap/>
        <w:overflowPunct/>
        <w:topLinePunct w:val="0"/>
        <w:autoSpaceDE/>
        <w:autoSpaceDN/>
        <w:bidi w:val="0"/>
        <w:adjustRightInd/>
        <w:spacing w:before="15" w:line="600" w:lineRule="exact"/>
        <w:ind w:left="0"/>
        <w:textAlignment w:val="auto"/>
        <w:rPr>
          <w:rFonts w:ascii="方正仿宋_GBK" w:hAnsi="方正仿宋_GBK" w:eastAsia="方正仿宋_GBK" w:cs="方正仿宋_GBK"/>
          <w:iCs/>
          <w:color w:val="000000"/>
        </w:rPr>
      </w:pPr>
      <w:r>
        <w:rPr>
          <w:rFonts w:hint="eastAsia" w:ascii="方正仿宋_GBK" w:hAnsi="方正仿宋_GBK" w:eastAsia="方正仿宋_GBK" w:cs="方正仿宋_GBK"/>
          <w:iCs/>
          <w:color w:val="000000"/>
          <w:u w:val="thick"/>
        </w:rPr>
        <w:tab/>
      </w:r>
      <w:r>
        <w:rPr>
          <w:rFonts w:hint="eastAsia" w:ascii="方正仿宋_GBK" w:hAnsi="方正仿宋_GBK" w:eastAsia="方正仿宋_GBK" w:cs="方正仿宋_GBK"/>
          <w:iCs/>
          <w:color w:val="000000"/>
          <w:lang w:val="en-US"/>
        </w:rPr>
        <w:t>代表队</w:t>
      </w:r>
      <w:r>
        <w:rPr>
          <w:rFonts w:hint="eastAsia" w:ascii="方正仿宋_GBK" w:hAnsi="方正仿宋_GBK" w:eastAsia="方正仿宋_GBK" w:cs="方正仿宋_GBK"/>
          <w:iCs/>
          <w:color w:val="000000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029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-30"/>
        <w:jc w:val="left"/>
        <w:textAlignment w:val="auto"/>
        <w:rPr>
          <w:rFonts w:ascii="方正仿宋_GBK" w:hAnsi="方正仿宋_GBK" w:eastAsia="方正仿宋_GBK" w:cs="方正仿宋_GBK"/>
          <w:i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Cs/>
          <w:color w:val="000000"/>
          <w:spacing w:val="-2"/>
          <w:sz w:val="32"/>
          <w:szCs w:val="32"/>
          <w:lang w:bidi="zh-CN"/>
        </w:rPr>
        <w:t xml:space="preserve">    </w:t>
      </w:r>
      <w:r>
        <w:rPr>
          <w:rFonts w:hint="eastAsia" w:ascii="方正仿宋_GBK" w:hAnsi="方正仿宋_GBK" w:eastAsia="方正仿宋_GBK" w:cs="方正仿宋_GBK"/>
          <w:iCs/>
          <w:color w:val="000000"/>
          <w:spacing w:val="-2"/>
          <w:sz w:val="32"/>
          <w:szCs w:val="32"/>
          <w:lang w:val="zh-CN" w:bidi="zh-CN"/>
        </w:rPr>
        <w:t>本队自愿参加 20</w:t>
      </w:r>
      <w:r>
        <w:rPr>
          <w:rFonts w:hint="eastAsia" w:ascii="方正仿宋_GBK" w:hAnsi="方正仿宋_GBK" w:eastAsia="方正仿宋_GBK" w:cs="方正仿宋_GBK"/>
          <w:iCs/>
          <w:color w:val="000000"/>
          <w:spacing w:val="-2"/>
          <w:sz w:val="32"/>
          <w:szCs w:val="32"/>
          <w:lang w:bidi="zh-CN"/>
        </w:rPr>
        <w:t>22</w:t>
      </w:r>
      <w:r>
        <w:rPr>
          <w:rFonts w:hint="eastAsia" w:ascii="方正仿宋_GBK" w:hAnsi="方正仿宋_GBK" w:eastAsia="方正仿宋_GBK" w:cs="方正仿宋_GBK"/>
          <w:iCs/>
          <w:color w:val="000000"/>
          <w:spacing w:val="-2"/>
          <w:sz w:val="32"/>
          <w:szCs w:val="32"/>
          <w:lang w:val="zh-CN" w:bidi="zh-CN"/>
        </w:rPr>
        <w:t>年重庆市中</w:t>
      </w:r>
      <w:r>
        <w:rPr>
          <w:rFonts w:hint="eastAsia" w:ascii="方正仿宋_GBK" w:hAnsi="方正仿宋_GBK" w:eastAsia="方正仿宋_GBK" w:cs="方正仿宋_GBK"/>
          <w:iCs/>
          <w:color w:val="000000"/>
          <w:sz w:val="32"/>
          <w:szCs w:val="32"/>
        </w:rPr>
        <w:t>小学生乒乓球</w:t>
      </w:r>
      <w:r>
        <w:rPr>
          <w:rFonts w:hint="eastAsia" w:ascii="方正仿宋_GBK" w:hAnsi="方正仿宋_GBK" w:eastAsia="方正仿宋_GBK" w:cs="方正仿宋_GBK"/>
          <w:iCs/>
          <w:color w:val="000000"/>
          <w:spacing w:val="-2"/>
          <w:sz w:val="32"/>
          <w:szCs w:val="32"/>
          <w:lang w:val="zh-CN" w:bidi="zh-CN"/>
        </w:rPr>
        <w:t>比赛，保证</w:t>
      </w:r>
      <w:r>
        <w:rPr>
          <w:rFonts w:hint="eastAsia" w:ascii="方正仿宋_GBK" w:eastAsia="方正仿宋_GBK" w:cs="Arial"/>
          <w:sz w:val="32"/>
          <w:szCs w:val="32"/>
        </w:rPr>
        <w:t>按照《2022年重庆市中小学生乒乓球比赛竞赛规程》要求，对所有报名参赛运动员进行资格审查，确保所有报名参赛队员及报名组别均符合规程参赛资格规定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并服从一切裁决</w:t>
      </w:r>
      <w:r>
        <w:rPr>
          <w:rFonts w:hint="eastAsia" w:ascii="方正仿宋_GBK" w:hAnsi="方正仿宋_GBK" w:eastAsia="方正仿宋_GBK" w:cs="方正仿宋_GBK"/>
          <w:iCs/>
          <w:color w:val="000000"/>
          <w:spacing w:val="-2"/>
          <w:sz w:val="32"/>
          <w:szCs w:val="32"/>
          <w:lang w:val="zh-CN" w:bidi="zh-CN"/>
        </w:rPr>
        <w:t>；本队所有参赛运动员及其监护人对在参赛</w:t>
      </w:r>
      <w:r>
        <w:rPr>
          <w:rFonts w:hint="eastAsia" w:ascii="方正仿宋_GBK" w:hAnsi="方正仿宋_GBK" w:eastAsia="方正仿宋_GBK" w:cs="方正仿宋_GBK"/>
          <w:iCs/>
          <w:color w:val="000000"/>
          <w:spacing w:val="-2"/>
          <w:sz w:val="32"/>
          <w:szCs w:val="32"/>
          <w:lang w:bidi="zh-CN"/>
        </w:rPr>
        <w:t>过程</w:t>
      </w:r>
      <w:r>
        <w:rPr>
          <w:rFonts w:hint="eastAsia" w:ascii="方正仿宋_GBK" w:hAnsi="方正仿宋_GBK" w:eastAsia="方正仿宋_GBK" w:cs="方正仿宋_GBK"/>
          <w:iCs/>
          <w:color w:val="000000"/>
          <w:spacing w:val="-2"/>
          <w:sz w:val="32"/>
          <w:szCs w:val="32"/>
          <w:lang w:val="zh-CN" w:bidi="zh-CN"/>
        </w:rPr>
        <w:t>中可能发生的危险已有充分的认识，同时承诺所有参赛队员的健康状况能够承受本次比赛，并具备半年内县级以上医院的体检合格证明书；赛前本</w:t>
      </w:r>
      <w:r>
        <w:rPr>
          <w:rFonts w:hint="eastAsia" w:ascii="方正仿宋_GBK" w:hAnsi="方正仿宋_GBK" w:eastAsia="方正仿宋_GBK" w:cs="方正仿宋_GBK"/>
          <w:iCs/>
          <w:color w:val="000000"/>
          <w:spacing w:val="-2"/>
          <w:sz w:val="32"/>
          <w:szCs w:val="32"/>
          <w:lang w:bidi="zh-CN"/>
        </w:rPr>
        <w:t>队</w:t>
      </w:r>
      <w:r>
        <w:rPr>
          <w:rFonts w:hint="eastAsia" w:ascii="方正仿宋_GBK" w:hAnsi="方正仿宋_GBK" w:eastAsia="方正仿宋_GBK" w:cs="方正仿宋_GBK"/>
          <w:iCs/>
          <w:color w:val="000000"/>
          <w:spacing w:val="-2"/>
          <w:sz w:val="32"/>
          <w:szCs w:val="32"/>
          <w:lang w:val="zh-CN" w:bidi="zh-CN"/>
        </w:rPr>
        <w:t>已办理了人身意外伤害保险，因此，在比赛期间出现意外伤害、死亡及物品丢失等突发状况所造成的损失由保险公司和本</w:t>
      </w:r>
      <w:r>
        <w:rPr>
          <w:rFonts w:hint="eastAsia" w:ascii="方正仿宋_GBK" w:hAnsi="方正仿宋_GBK" w:eastAsia="方正仿宋_GBK" w:cs="方正仿宋_GBK"/>
          <w:iCs/>
          <w:color w:val="000000"/>
          <w:spacing w:val="-2"/>
          <w:sz w:val="32"/>
          <w:szCs w:val="32"/>
          <w:lang w:bidi="zh-CN"/>
        </w:rPr>
        <w:t>队</w:t>
      </w:r>
      <w:r>
        <w:rPr>
          <w:rFonts w:hint="eastAsia" w:ascii="方正仿宋_GBK" w:hAnsi="方正仿宋_GBK" w:eastAsia="方正仿宋_GBK" w:cs="方正仿宋_GBK"/>
          <w:iCs/>
          <w:color w:val="000000"/>
          <w:spacing w:val="-2"/>
          <w:sz w:val="32"/>
          <w:szCs w:val="32"/>
          <w:lang w:val="zh-CN" w:bidi="zh-CN"/>
        </w:rPr>
        <w:t>自行承担，主办方、承办方及其他人员免责。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60" w:right="964" w:firstLine="2880" w:firstLineChars="900"/>
        <w:textAlignment w:val="auto"/>
        <w:rPr>
          <w:rFonts w:hint="eastAsia" w:ascii="方正仿宋_GBK" w:hAnsi="方正仿宋_GBK" w:eastAsia="方正仿宋_GBK" w:cs="方正仿宋_GBK"/>
          <w:iCs/>
          <w:color w:val="000000"/>
          <w:spacing w:val="-5"/>
        </w:rPr>
      </w:pPr>
      <w:r>
        <w:rPr>
          <w:rFonts w:hint="eastAsia" w:ascii="方正仿宋_GBK" w:hAnsi="方正仿宋_GBK" w:eastAsia="方正仿宋_GBK" w:cs="方正仿宋_GBK"/>
          <w:iCs/>
          <w:color w:val="000000"/>
        </w:rPr>
        <w:t>区县教育部门（学校）</w:t>
      </w:r>
      <w:r>
        <w:rPr>
          <w:rFonts w:hint="eastAsia" w:ascii="方正仿宋_GBK" w:hAnsi="方正仿宋_GBK" w:eastAsia="方正仿宋_GBK" w:cs="方正仿宋_GBK"/>
          <w:iCs/>
          <w:color w:val="000000"/>
          <w:spacing w:val="-5"/>
        </w:rPr>
        <w:t>盖章：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60" w:right="964" w:firstLine="2880" w:firstLineChars="900"/>
        <w:textAlignment w:val="auto"/>
        <w:rPr>
          <w:rFonts w:hint="eastAsia" w:ascii="方正仿宋_GBK" w:hAnsi="方正仿宋_GBK" w:eastAsia="方正仿宋_GBK" w:cs="方正仿宋_GBK"/>
          <w:iCs/>
          <w:color w:val="000000"/>
        </w:rPr>
      </w:pPr>
      <w:r>
        <w:rPr>
          <w:rFonts w:hint="eastAsia" w:ascii="方正仿宋_GBK" w:hAnsi="方正仿宋_GBK" w:eastAsia="方正仿宋_GBK" w:cs="方正仿宋_GBK"/>
          <w:iCs/>
          <w:color w:val="000000"/>
        </w:rPr>
        <w:t>领队或教练签字：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60" w:right="964" w:firstLine="2880" w:firstLineChars="900"/>
        <w:textAlignment w:val="auto"/>
        <w:rPr>
          <w:rFonts w:hint="default" w:ascii="方正仿宋_GBK" w:hAnsi="方正仿宋_GBK" w:eastAsia="方正仿宋_GBK" w:cs="方正仿宋_GBK"/>
          <w:iCs/>
          <w:color w:val="00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iCs/>
          <w:color w:val="000000"/>
          <w:lang w:val="en-US" w:eastAsia="zh-CN"/>
        </w:rPr>
        <w:t>2022年   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2640" w:firstLineChars="600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报名及报到程序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一、6月21日上午8:30—9:00在重庆市育才中学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师陶楼六楼三会议室报到，并缴纳保证金、2022年重庆市中小学生乒乓球比赛参赛免责声明（附件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）、领队、教练员、队医和参赛人员健康筛查统计表（附件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）、“人身意外伤害保险”复印件，并审查参赛队员身份证。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二、6月21日上午9:00—11:00在重庆市育才中学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师陶楼六楼三会议室召开领队、教练员联席会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并进行抽签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。请各代表队领队、教练准时出席。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本次比赛裁判长和裁判员由市教委统一选调。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  <w:t>全体裁判员请于6月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  <w:t>日上午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11:00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在重庆市育才中学师陶楼六楼三会议室进行裁判员培训。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6月21日下午14:00开始比赛，具体赛程时间见比赛秩序册。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五、报名联系人及联系方式。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报名邮箱：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335826123@qq.com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报名联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系人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及电话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隗泓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023-86051013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（三）2022年重庆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市中小学乒乓球比赛群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0" w:firstLineChars="200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1511300</wp:posOffset>
            </wp:positionH>
            <wp:positionV relativeFrom="paragraph">
              <wp:posOffset>122555</wp:posOffset>
            </wp:positionV>
            <wp:extent cx="2202180" cy="2358390"/>
            <wp:effectExtent l="0" t="0" r="7620" b="381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t="20454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46" w:bottom="1644" w:left="1446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3080" w:firstLineChars="7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2022年重庆市中小学乒乓球比赛报名表</w:t>
      </w:r>
    </w:p>
    <w:tbl>
      <w:tblPr>
        <w:tblStyle w:val="6"/>
        <w:tblpPr w:leftFromText="180" w:rightFromText="180" w:vertAnchor="text" w:horzAnchor="page" w:tblpXSpec="center" w:tblpY="277"/>
        <w:tblOverlap w:val="never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977"/>
        <w:gridCol w:w="1534"/>
        <w:gridCol w:w="1977"/>
        <w:gridCol w:w="1456"/>
        <w:gridCol w:w="1161"/>
        <w:gridCol w:w="1334"/>
        <w:gridCol w:w="1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领队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教练1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教练2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队医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2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 w:val="22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2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2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 w:val="22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2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编号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组别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区域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运动姓名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区县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2"/>
              </w:rPr>
              <w:t>例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2"/>
                <w:lang w:bidi="ar"/>
              </w:rPr>
              <w:t>小学甲/乙组、初中组、高中组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2"/>
                <w:lang w:bidi="ar"/>
              </w:rPr>
              <w:t>主城/区县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2"/>
                <w:lang w:bidi="ar"/>
              </w:rPr>
              <w:t>男单、女单、男双、女双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2"/>
                <w:lang w:bidi="ar"/>
              </w:rPr>
              <w:t>XXX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2"/>
                <w:lang w:bidi="ar"/>
              </w:rPr>
              <w:t>男、女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2"/>
                <w:lang w:bidi="ar"/>
              </w:rPr>
              <w:t>XX区县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2"/>
                <w:lang w:bidi="ar"/>
              </w:rPr>
              <w:t>XX学校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-1103" w:rightChars="-525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学校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</w:rPr>
        <w:t xml:space="preserve">：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 xml:space="preserve">  （填写学校规范全称，加盖公章）  区县教委（盖章）体卫艺科负责人签字：______________</w:t>
      </w: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方正黑体_GBK" w:hAnsi="方正黑体_GBK" w:eastAsia="方正黑体_GBK" w:cs="方正黑体_GBK"/>
          <w:i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Cs/>
          <w:sz w:val="44"/>
          <w:szCs w:val="44"/>
          <w:lang w:val="en-US" w:eastAsia="zh-CN"/>
        </w:rPr>
        <w:t>领队、教练员、队医和参赛人员健康筛查统计表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                                             </w:t>
      </w:r>
    </w:p>
    <w:tbl>
      <w:tblPr>
        <w:tblStyle w:val="6"/>
        <w:tblW w:w="12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71"/>
        <w:gridCol w:w="1134"/>
        <w:gridCol w:w="1925"/>
        <w:gridCol w:w="1500"/>
        <w:gridCol w:w="2265"/>
        <w:gridCol w:w="1860"/>
        <w:gridCol w:w="103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1" w:type="dxa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情形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姓名</w:t>
            </w:r>
          </w:p>
        </w:tc>
        <w:tc>
          <w:tcPr>
            <w:tcW w:w="11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000000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2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3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4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5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6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7</w:t>
            </w: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14天内旅居地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（国家县（市、区））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居住社区21天内发生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疫情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①是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②否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属于下面那种情形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①确诊病例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②无症状感染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③密切接触者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④以上都不是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是否解除医学观察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①是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②否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③不是医学观察对象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14天内有以下症状①发热②乏力③咳嗽或打喷嚏④咽痛⑤腹泻⑥呕吐⑦黄疸⑧皮疹⑨结膜充血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⑩都没有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有无接触疑似、确诊新型冠状病毒肺炎患者史</w:t>
            </w:r>
            <w:r>
              <w:rPr>
                <w:rFonts w:hint="eastAsia" w:ascii="宋体" w:hAnsi="宋体" w:eastAsia="宋体" w:cs="方正仿宋_GBK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eastAsia="宋体" w:cs="方正仿宋_GBK"/>
                <w:color w:val="000000"/>
                <w:lang w:val="en-US" w:eastAsia="zh-CN"/>
              </w:rPr>
              <w:t>以及共同居住者有无来自中高风险地区</w:t>
            </w:r>
            <w:r>
              <w:rPr>
                <w:rFonts w:hint="eastAsia" w:ascii="宋体" w:hAnsi="宋体" w:eastAsia="宋体" w:cs="方正仿宋_GBK"/>
                <w:color w:val="000000"/>
              </w:rPr>
              <w:t>①</w:t>
            </w:r>
            <w:r>
              <w:rPr>
                <w:rFonts w:hint="eastAsia" w:ascii="宋体" w:hAnsi="宋体" w:eastAsia="宋体" w:cs="方正仿宋_GBK"/>
                <w:color w:val="000000"/>
                <w:lang w:val="en-US" w:eastAsia="zh-CN"/>
              </w:rPr>
              <w:t>有</w:t>
            </w:r>
            <w:r>
              <w:rPr>
                <w:rFonts w:hint="eastAsia" w:ascii="宋体" w:hAnsi="宋体" w:eastAsia="宋体" w:cs="方正仿宋_GBK"/>
                <w:color w:val="000000"/>
              </w:rPr>
              <w:t>②</w:t>
            </w:r>
            <w:r>
              <w:rPr>
                <w:rFonts w:hint="eastAsia" w:ascii="宋体" w:hAnsi="宋体" w:eastAsia="宋体" w:cs="方正仿宋_GBK"/>
                <w:color w:val="000000"/>
                <w:lang w:val="en-US" w:eastAsia="zh-CN"/>
              </w:rPr>
              <w:t>无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是否接种疫苗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①是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②否</w:t>
            </w: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核酸检测结果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①阳性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②阴性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eastAsia="宋体"/>
          <w:sz w:val="32"/>
          <w:szCs w:val="32"/>
          <w:lang w:eastAsia="zh-CN"/>
        </w:rPr>
        <w:sectPr>
          <w:pgSz w:w="16838" w:h="11906" w:orient="landscape"/>
          <w:pgMar w:top="1446" w:right="1984" w:bottom="1446" w:left="164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方正仿宋_GBK"/>
          <w:color w:val="000000"/>
        </w:rPr>
        <w:t>负责人: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 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     </w:t>
      </w:r>
      <w:r>
        <w:rPr>
          <w:rFonts w:hint="eastAsia" w:ascii="宋体" w:hAnsi="宋体" w:eastAsia="宋体" w:cs="方正仿宋_GBK"/>
          <w:color w:val="000000"/>
        </w:rPr>
        <w:t xml:space="preserve"> 联系电话: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  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       </w:t>
      </w:r>
      <w:r>
        <w:rPr>
          <w:rFonts w:hint="eastAsia" w:ascii="宋体" w:hAnsi="宋体" w:eastAsia="宋体" w:cs="方正仿宋_GBK"/>
          <w:color w:val="000000"/>
        </w:rPr>
        <w:t>单位(盖章)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 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    </w:t>
      </w:r>
      <w:r>
        <w:rPr>
          <w:rFonts w:hint="eastAsia" w:ascii="宋体" w:hAnsi="宋体" w:eastAsia="宋体" w:cs="方正仿宋_GBK"/>
          <w:color w:val="000000"/>
        </w:rPr>
        <w:t xml:space="preserve">  日期: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方正仿宋_GBK"/>
          <w:color w:val="000000"/>
        </w:rPr>
        <w:t>年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</w:t>
      </w:r>
      <w:r>
        <w:rPr>
          <w:rFonts w:hint="eastAsia" w:ascii="宋体" w:hAnsi="宋体" w:eastAsia="宋体" w:cs="方正仿宋_GBK"/>
          <w:color w:val="000000"/>
        </w:rPr>
        <w:t>月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</w:t>
      </w:r>
      <w:r>
        <w:rPr>
          <w:rFonts w:hint="eastAsia" w:ascii="宋体" w:hAnsi="宋体" w:eastAsia="宋体" w:cs="方正仿宋_GBK"/>
          <w:color w:val="000000"/>
        </w:rPr>
        <w:t xml:space="preserve"> </w:t>
      </w:r>
      <w:r>
        <w:rPr>
          <w:rFonts w:hint="eastAsia" w:ascii="宋体" w:hAnsi="宋体" w:eastAsia="宋体" w:cs="方正仿宋_GBK"/>
          <w:color w:val="000000"/>
          <w:lang w:eastAsia="zh-CN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-1103" w:rightChars="-525"/>
        <w:rPr>
          <w:rFonts w:ascii="方正黑体_GBK" w:hAnsi="方正黑体_GBK" w:cs="方正黑体_GBK"/>
          <w:sz w:val="21"/>
          <w:szCs w:val="21"/>
        </w:rPr>
      </w:pPr>
    </w:p>
    <w:sectPr>
      <w:footerReference r:id="rId4" w:type="default"/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ZDM2YzU5NzkyOTFiYmMwYTEzNzg3ZjVjODM2NjUifQ=="/>
  </w:docVars>
  <w:rsids>
    <w:rsidRoot w:val="00172A27"/>
    <w:rsid w:val="00121C1C"/>
    <w:rsid w:val="00172A27"/>
    <w:rsid w:val="003832FE"/>
    <w:rsid w:val="005E5BB2"/>
    <w:rsid w:val="007D615C"/>
    <w:rsid w:val="00990D5C"/>
    <w:rsid w:val="00BB05AE"/>
    <w:rsid w:val="00D13090"/>
    <w:rsid w:val="00E94DE4"/>
    <w:rsid w:val="00EE04A6"/>
    <w:rsid w:val="019C1CBE"/>
    <w:rsid w:val="021C6239"/>
    <w:rsid w:val="046405AF"/>
    <w:rsid w:val="04AE774F"/>
    <w:rsid w:val="052F1712"/>
    <w:rsid w:val="0E727E4A"/>
    <w:rsid w:val="116E0D98"/>
    <w:rsid w:val="1C9E6113"/>
    <w:rsid w:val="208F342C"/>
    <w:rsid w:val="22EF1233"/>
    <w:rsid w:val="24F307DB"/>
    <w:rsid w:val="26A93FA8"/>
    <w:rsid w:val="28E33487"/>
    <w:rsid w:val="30102596"/>
    <w:rsid w:val="30397816"/>
    <w:rsid w:val="35EA0FD5"/>
    <w:rsid w:val="38FE0016"/>
    <w:rsid w:val="3C1931D5"/>
    <w:rsid w:val="3E5D174E"/>
    <w:rsid w:val="448619A5"/>
    <w:rsid w:val="48992027"/>
    <w:rsid w:val="57A957D2"/>
    <w:rsid w:val="59F70283"/>
    <w:rsid w:val="5CBF5574"/>
    <w:rsid w:val="5D3B2FBA"/>
    <w:rsid w:val="6BEF5F59"/>
    <w:rsid w:val="6EBF6172"/>
    <w:rsid w:val="714F287C"/>
    <w:rsid w:val="7163510C"/>
    <w:rsid w:val="71B16F0E"/>
    <w:rsid w:val="77AB3955"/>
    <w:rsid w:val="790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spacing w:before="214"/>
      <w:ind w:left="758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Balloon Text"/>
    <w:basedOn w:val="1"/>
    <w:link w:val="8"/>
    <w:qFormat/>
    <w:uiPriority w:val="0"/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批注框文本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3541</Words>
  <Characters>3709</Characters>
  <Lines>29</Lines>
  <Paragraphs>8</Paragraphs>
  <TotalTime>24</TotalTime>
  <ScaleCrop>false</ScaleCrop>
  <LinksUpToDate>false</LinksUpToDate>
  <CharactersWithSpaces>3869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2022-06-08T07:58:00Z</dcterms:created>
  <dc:creator>ASUS</dc:creator>
  <cp:lastModifiedBy>蔡冀</cp:lastModifiedBy>
  <cp:lastPrinted>2022-06-10T03:40:00Z</cp:lastPrinted>
  <dcterms:modified xsi:type="dcterms:W3CDTF">2022-06-10T04:27:59Z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03AE8D48276A4CC6BD0B5A059CEAF504</vt:lpwstr>
  </property>
</Properties>
</file>